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4fc03310548a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13990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BISAG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1.173.653,47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1.112.954,43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1.026.828,65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1.074.081,58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146.824,82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38.872,85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235.494,90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36.330,22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235.494,90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36.330,22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2.542,63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u izvještajnom razdoblju ostvareni su od strane MZOM-a za plaće zaposlenika, B1 i B2 aktivnosti, medni dan, higijenske potrepštine, od Općine za rekonstrukciju ograde, prijevoz, smještaj učenice, te od strane osnivača za materijalne i ostale rashode. </w:t>
      </w:r>
    </w:p>
    <w:p>
      <w:r>
        <w:t xml:space="preserve">Ukupni rashodi poslovanja odnose se na rashode za zaposlene, materijalne troškove te ostale rashode nastale u izvještajnoj godini.</w:t>
      </w:r>
    </w:p>
    <w:p>
      <w:r>
        <w:t xml:space="preserve">Prihode za nabavu nefinancijske imovine Škola ne ostvaruje pa iste podmiruje iz rashoda poslovanja.</w:t>
      </w:r>
    </w:p>
    <w:p>
      <w:r>
        <w:t xml:space="preserve">U izvještajnom razdoblju ostvareni su veći prihodi poslovanja nad rashodima te je ostvaren prihod poslovanja od 2.542,63 eura.</w:t>
      </w:r>
    </w:p>
    <w:p>
      <w:r>
        <w:t xml:space="preserve">Za ostvareni prihod poslovanja smanjen je preneseni manjak iz 2024. godine koji je iznosio -55.411,93 eura.</w:t>
      </w:r>
    </w:p>
    <w:p>
      <w:r>
        <w:t xml:space="preserve">Manjak prihoda za pokriće u idućem razdoblju iznosi -52.869,30 eura.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25.693,65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98.888,27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384,9</w:t>
            </w:r>
          </w:p>
        </w:tc>
      </w:tr>
    </w:tbl>
    <w:p>
      <w:pPr>
        <w:spacing w:before="0" w:after="0"/>
      </w:pPr>
    </w:p>
    <w:p>
      <w:r>
        <w:t xml:space="preserve">Prihodi primljeni za opremu nabavljenu u sklopu ulaganja u CDŠ škole od MZOM-a i prihodi od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179,2</w:t>
            </w:r>
          </w:p>
        </w:tc>
      </w:tr>
    </w:tbl>
    <w:p>
      <w:pPr>
        <w:spacing w:before="0" w:after="0"/>
      </w:pPr>
    </w:p>
    <w:p>
      <w:r>
        <w:t xml:space="preserve">Prihodi od financijske imovine, kamate na sredstva, veći su zbog većeg iznosa novčanih sredstava na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69,1</w:t>
            </w:r>
          </w:p>
        </w:tc>
      </w:tr>
    </w:tbl>
    <w:p>
      <w:pPr>
        <w:spacing w:before="0" w:after="0"/>
      </w:pPr>
    </w:p>
    <w:p>
      <w:r>
        <w:t xml:space="preserve">Prihodi su manji u odnosu na 2024. godinu za 30,9% jer financiranje prehrane učenika osigurava MZOM (povećanje računa prihoda 636), a prhodi su ostvareni uplatom zaposlenih za prehranu, sufinanciranjem troška telefonske usluge i garderobnih ključića.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545,0</w:t>
            </w:r>
          </w:p>
        </w:tc>
      </w:tr>
    </w:tbl>
    <w:p>
      <w:pPr>
        <w:spacing w:before="0" w:after="0"/>
      </w:pPr>
    </w:p>
    <w:p>
      <w:r>
        <w:t xml:space="preserve">Prihodi ostvareni prodajom proizvoda učeničke Zadruge.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za podmirenje troška koji je nastao zbog nezapošljavanja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172.812,06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75.859,33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43,9</w:t>
            </w:r>
          </w:p>
        </w:tc>
      </w:tr>
    </w:tbl>
    <w:p>
      <w:pPr>
        <w:spacing w:before="0" w:after="0"/>
      </w:pPr>
    </w:p>
    <w:p>
      <w:r>
        <w:t xml:space="preserve">Prihodi su manji u odnosu na prethodnu godinu zbog podmirenja većeg dijela troška projektne dokumentacije u 2024. godini. Isti su ostvareni za pokrivanje redovnih rashoda poslovanja Škole i sitnih  radova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1.026.828,65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1.074.081,58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r>
        <w:t xml:space="preserve">Ukupni rashodi poslovanja veći su za 4,6% u odnosu na 2024. godinu, zbog povećanja rashoda za zaposlene. U izvještajnoj godini došlo do povećanja osnovice plaće i bilo je više ostvarenja materijalnih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716.361,62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853.199,14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Rast u odnosu na 2024. godinu iz razloga povećanja osnovice, materijalnih prava i većeg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286.592,52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197.485,23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68,9</w:t>
            </w:r>
          </w:p>
        </w:tc>
      </w:tr>
    </w:tbl>
    <w:p>
      <w:pPr>
        <w:spacing w:before="0" w:after="0"/>
      </w:pPr>
    </w:p>
    <w:p>
      <w:r>
        <w:t xml:space="preserve">Ukupni materijalni rashodi manji su u odnosu na prošlu godinu. Manji troškovi rezultat su završetka radova u okviru infrastrukturnih ulaganja u CDŠ škole.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49.533,29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r>
        <w:t xml:space="preserve">Veći troškovi u odnosu na 2024. godinu za 24,7% zbog povećanja troškova prijevoza, većeg broja seminara i stručnog usavršavanja, dnevnica i ostalih troškova službenih putovanja kojih je u prošloj godini bilo manje.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77.752,56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68.050,57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</w:t>
            </w:r>
          </w:p>
        </w:tc>
      </w:tr>
    </w:tbl>
    <w:p>
      <w:pPr>
        <w:spacing w:before="0" w:after="0"/>
      </w:pPr>
    </w:p>
    <w:p>
      <w:r>
        <w:t xml:space="preserve">Manji su za 12,5% u odnosu na 2024. godinu. Od ukupnih rashoda po toj osnovi izdvaja se rashod za uredski materijal, materijal za čišćenje i higijenski materijal, te rashodi za nabavu radne odjeće i obuće.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154.733,80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68.897,07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44,5</w:t>
            </w:r>
          </w:p>
        </w:tc>
      </w:tr>
    </w:tbl>
    <w:p>
      <w:pPr>
        <w:spacing w:before="0" w:after="0"/>
      </w:pPr>
    </w:p>
    <w:p>
      <w:r>
        <w:t xml:space="preserve">Ukupni rashodi za usluge manji su u odnosu na 2024. godinu. U 2025. godini nije bilo usluga u sklopu infrastrukturnih ulaganja u škole koje su ušle u eksperimentalni program CDŠ-a. Povećani su rashodi za usluge prijevoza u sklopu B1 aktivnosti, tisak časopisa te komunalne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14.397,68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11.004,30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76,4</w:t>
            </w:r>
          </w:p>
        </w:tc>
      </w:tr>
    </w:tbl>
    <w:p>
      <w:pPr>
        <w:spacing w:before="0" w:after="0"/>
      </w:pPr>
    </w:p>
    <w:p>
      <w:r>
        <w:t xml:space="preserve">Manji su za 23,6%, zbog smanjenja troškova reprezentacije, naknade za zapošljavanje invalida i ostalih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81,9</w:t>
            </w:r>
          </w:p>
        </w:tc>
      </w:tr>
    </w:tbl>
    <w:p>
      <w:pPr>
        <w:spacing w:before="0" w:after="0"/>
      </w:pPr>
    </w:p>
    <w:p>
      <w:r>
        <w:t xml:space="preserve">Manji za 18,1% u odnosu na 2024. godinu zbog manjeg broja transakcija po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23.079,51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22.710,38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</w:tbl>
    <w:p>
      <w:pPr>
        <w:spacing w:before="0" w:after="0"/>
      </w:pPr>
    </w:p>
    <w:p>
      <w:r>
        <w:t xml:space="preserve">Odnose se na nabavu udžbenika i radnog materijala za sve učenike, a trošak je manji za 1,6%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107.409,21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10.467,72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9,7</w:t>
            </w:r>
          </w:p>
        </w:tc>
      </w:tr>
    </w:tbl>
    <w:p>
      <w:pPr>
        <w:spacing w:before="0" w:after="0"/>
      </w:pPr>
    </w:p>
    <w:p>
      <w:r>
        <w:t xml:space="preserve">Rashodi za nabavu dugotrajne imovine manji su u odnosu na prošlu godinu zbog ulaganja u nabavu uredske opreme, strojeva i uređaja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128.085,69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20,2</w:t>
            </w:r>
          </w:p>
        </w:tc>
      </w:tr>
    </w:tbl>
    <w:p>
      <w:pPr>
        <w:spacing w:before="0" w:after="0"/>
      </w:pPr>
    </w:p>
    <w:p>
      <w:r>
        <w:t xml:space="preserve">Rashodi se odnose na ulaganja u dokumentaciju za izgradnju školske sportske dvorane.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višak prihoda poslovanja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332,8</w:t>
            </w:r>
          </w:p>
        </w:tc>
      </w:tr>
    </w:tbl>
    <w:p>
      <w:pPr>
        <w:spacing w:before="0" w:after="0"/>
      </w:pPr>
    </w:p>
    <w:p>
      <w:r>
        <w:t xml:space="preserve">Prihodi od Općine za rekonstrukciju ograde, prijevoz učenika, smještaj učenice.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455.870,61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444.050,22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97,4</w:t>
            </w:r>
          </w:p>
        </w:tc>
      </w:tr>
    </w:tbl>
    <w:p>
      <w:pPr>
        <w:spacing w:before="0" w:after="0"/>
      </w:pPr>
    </w:p>
    <w:p>
      <w:r>
        <w:t xml:space="preserve">U 2025. godini nabavljeno je manje opreme u odnosu na 2024. zbog završetka nabave za škole koje su u CDŠ-u.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406,7</w:t>
            </w:r>
          </w:p>
        </w:tc>
      </w:tr>
    </w:tbl>
    <w:p>
      <w:pPr>
        <w:spacing w:before="0" w:after="0"/>
      </w:pPr>
    </w:p>
    <w:p>
      <w:r>
        <w:t xml:space="preserve">U 2025. godini refundacija naknada za bolovanje na teret HZZO-a iznosila je 372,29 eura. Potraživanja po toj osnovi veća su zbog dugotrajnog bolovanja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74.794,54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Potraživanja se odnose na plaće za 12/2025., školsku kuhinju, B1 aktivnost. Ista će biti zatvorena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199.608,89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81.867,84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41,0</w:t>
            </w:r>
          </w:p>
        </w:tc>
      </w:tr>
    </w:tbl>
    <w:p>
      <w:pPr>
        <w:spacing w:before="0" w:after="0"/>
      </w:pPr>
    </w:p>
    <w:p>
      <w:r>
        <w:t xml:space="preserve">Obveze za zaposlene, materijalne i financijske rashode koje će se podmiriti u 01/2026.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59.175,17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69.186,06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Obveze za zaposlen veće su u odnosu na prošlu godinu zbog povećanja osnovice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koje se ne može definirati po stupnju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r>
        <w:t xml:space="preserve">Prihod za med- Školski medni dan.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53.402,01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67.388,01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Prihodi za dodatne usluge - prehrana, usluga B2 aktivnosti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obrazovanja koje nisu drugdje svrstane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96,6</w:t>
            </w:r>
          </w:p>
        </w:tc>
      </w:tr>
    </w:tbl>
    <w:p>
      <w:pPr>
        <w:spacing w:before="0" w:after="0"/>
      </w:pPr>
    </w:p>
    <w:p>
      <w:r>
        <w:t xml:space="preserve">Prihodi za higijenske potrepštine za učenice.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strane osnivača darovane su knjige u prikazanom iznosu.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81.867,84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81.867,84 eura, a odnose se na trošak plaće i obveze prema dobavljačima koje će se podmiriti prema valuti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rashode za namirnice, pekarske proizvode i mesne prerađevine za prehranu učenika. Dospjele obveze će se podmiritiu siječnju, po uplati sredstava za prehranu.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181de9ec946bb" /></Relationships>
</file>